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pStyle w:val="4"/>
        <w:rPr>
          <w:rFonts w:hint="eastAsia"/>
          <w:sz w:val="32"/>
          <w:szCs w:val="32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Times New Roman" w:eastAsia="方正仿宋_GBK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/>
          <w:sz w:val="32"/>
          <w:szCs w:val="32"/>
        </w:rPr>
        <w:pict>
          <v:shape id="_x0000_i1025" o:spt="136" type="#_x0000_t136" style="height:60.95pt;width:417.3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武隆区沧沟乡人民政府文件" style="font-family:方正小标宋_GBK;font-size:36pt;v-rotate-letters:f;v-same-letter-heights:f;v-text-align:center;"/>
            <w10:wrap type="none"/>
            <w10:anchorlock/>
          </v:shape>
        </w:pict>
      </w:r>
    </w:p>
    <w:p>
      <w:pPr>
        <w:jc w:val="both"/>
        <w:rPr>
          <w:rFonts w:hint="eastAsia" w:ascii="方正仿宋_GBK" w:hAnsi="Times New Roman" w:eastAsia="方正仿宋_GBK"/>
          <w:color w:val="000000"/>
          <w:sz w:val="32"/>
          <w:szCs w:val="32"/>
        </w:rPr>
      </w:pPr>
    </w:p>
    <w:p>
      <w:pPr>
        <w:jc w:val="center"/>
        <w:rPr>
          <w:rFonts w:hint="eastAsia" w:ascii="方正仿宋_GBK" w:hAnsi="Times New Roman" w:eastAsia="方正仿宋_GBK"/>
          <w:color w:val="000000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方正楷体_GBK" w:hAnsi="宋体" w:eastAsia="方正楷体_GBK" w:cs="宋体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380365</wp:posOffset>
                </wp:positionV>
                <wp:extent cx="5292090" cy="20955"/>
                <wp:effectExtent l="0" t="9525" r="3810" b="2667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90" cy="2095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.65pt;margin-top:29.95pt;height:1.65pt;width:416.7pt;z-index:251658240;mso-width-relative:page;mso-height-relative:page;" filled="f" stroked="t" coordsize="21600,21600" o:gfxdata="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CUYNNYAAAAHAQAADwAAAAAAAAABACAAAAAiAAAAZHJzL2Rvd25yZXYueG1sUEsBAhQAFAAA&#10;AAgAh07iQHGMAzfxAQAAuwMAAA4AAAAAAAAAAQAgAAAAJQEAAGRycy9lMm9Eb2MueG1sUEsFBgAA&#10;AAAGAAYAWQEAAIgF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沧沟府</w:t>
      </w:r>
      <w:r>
        <w:rPr>
          <w:rFonts w:hint="eastAsia" w:ascii="方正仿宋_GBK" w:hAnsi="Times New Roman" w:eastAsia="方正仿宋_GBK"/>
          <w:color w:val="000000"/>
          <w:sz w:val="32"/>
          <w:szCs w:val="32"/>
          <w:lang w:eastAsia="zh-CN"/>
        </w:rPr>
        <w:t>发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〔</w:t>
      </w:r>
      <w:r>
        <w:rPr>
          <w:rFonts w:hint="eastAsia" w:ascii="方正仿宋_GBK" w:hAnsi="Times New Roman" w:eastAsia="方正仿宋_GBK" w:cs="宋体"/>
          <w:color w:val="000000"/>
          <w:sz w:val="32"/>
          <w:szCs w:val="32"/>
        </w:rPr>
        <w:t>20</w:t>
      </w:r>
      <w:r>
        <w:rPr>
          <w:rFonts w:hint="eastAsia" w:ascii="方正仿宋_GBK" w:eastAsia="方正仿宋_GBK" w:cs="宋体"/>
          <w:color w:val="000000"/>
          <w:sz w:val="32"/>
          <w:szCs w:val="32"/>
        </w:rPr>
        <w:t>2</w:t>
      </w:r>
      <w:r>
        <w:rPr>
          <w:rFonts w:hint="eastAsia" w:ascii="方正仿宋_GBK" w:eastAsia="方正仿宋_GBK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〕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eastAsia" w:ascii="方正仿宋_GBK" w:hAnsi="宋体" w:eastAsia="方正仿宋_GBK" w:cs="宋体"/>
          <w:color w:val="000000"/>
          <w:sz w:val="32"/>
          <w:szCs w:val="32"/>
        </w:rPr>
      </w:pPr>
    </w:p>
    <w:p>
      <w:pPr>
        <w:snapToGrid w:val="0"/>
        <w:spacing w:line="540" w:lineRule="exact"/>
        <w:ind w:firstLine="1320" w:firstLineChars="300"/>
        <w:jc w:val="both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</w:rPr>
        <w:t>重庆市武隆区沧沟乡人民政府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关于印发《</w:t>
      </w:r>
      <w:r>
        <w:rPr>
          <w:rFonts w:hint="eastAsia" w:eastAsia="方正小标宋_GBK" w:cs="Times New Roman"/>
          <w:b w:val="0"/>
          <w:bCs/>
          <w:sz w:val="44"/>
          <w:szCs w:val="44"/>
          <w:lang w:eastAsia="zh-CN"/>
        </w:rPr>
        <w:t>沧沟乡</w:t>
      </w:r>
      <w:r>
        <w:rPr>
          <w:rFonts w:hint="eastAsia" w:eastAsia="方正小标宋_GBK" w:cs="Times New Roman"/>
          <w:b w:val="0"/>
          <w:bCs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普法责任清单》的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通</w:t>
      </w:r>
      <w:r>
        <w:rPr>
          <w:rFonts w:hint="eastAsia" w:eastAsia="方正小标宋_GBK" w:cs="Times New Roman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各</w:t>
      </w:r>
      <w:r>
        <w:rPr>
          <w:rFonts w:hint="eastAsia" w:eastAsia="方正仿宋_GBK" w:cs="Times New Roman"/>
          <w:bCs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，</w:t>
      </w:r>
      <w:r>
        <w:rPr>
          <w:rFonts w:hint="eastAsia" w:eastAsia="方正仿宋_GBK" w:cs="Times New Roman"/>
          <w:bCs/>
          <w:sz w:val="32"/>
          <w:szCs w:val="32"/>
          <w:lang w:eastAsia="zh-CN"/>
        </w:rPr>
        <w:t>乡级各单位，相关办室：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8" w:firstLineChars="200"/>
        <w:textAlignment w:val="auto"/>
        <w:rPr>
          <w:rFonts w:hint="default" w:ascii="Times New Roman" w:hAnsi="Times New Roman" w:eastAsia="方正仿宋_GBK" w:cs="Times New Roman"/>
          <w:spacing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为深入落实国家机关</w:t>
      </w:r>
      <w:r>
        <w:rPr>
          <w:rFonts w:hint="eastAsia" w:eastAsia="方正仿宋_GBK" w:cs="Times New Roman"/>
          <w:spacing w:val="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谁执法谁普法</w:t>
      </w:r>
      <w:r>
        <w:rPr>
          <w:rFonts w:hint="eastAsia" w:eastAsia="方正仿宋_GBK" w:cs="Times New Roman"/>
          <w:spacing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普法责任制，经</w:t>
      </w:r>
      <w:r>
        <w:rPr>
          <w:rFonts w:hint="eastAsia" w:eastAsia="方正仿宋_GBK" w:cs="Times New Roman"/>
          <w:spacing w:val="2"/>
          <w:sz w:val="32"/>
          <w:szCs w:val="32"/>
          <w:lang w:eastAsia="zh-CN"/>
        </w:rPr>
        <w:t>乡人民政府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同意，</w:t>
      </w:r>
      <w:r>
        <w:rPr>
          <w:rFonts w:hint="eastAsia" w:eastAsia="方正仿宋_GBK" w:cs="Times New Roman"/>
          <w:spacing w:val="2"/>
          <w:sz w:val="32"/>
          <w:szCs w:val="32"/>
          <w:lang w:eastAsia="zh-CN"/>
        </w:rPr>
        <w:t>特制定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《</w:t>
      </w:r>
      <w:r>
        <w:rPr>
          <w:rFonts w:hint="eastAsia" w:eastAsia="方正仿宋_GBK" w:cs="Times New Roman"/>
          <w:spacing w:val="2"/>
          <w:sz w:val="32"/>
          <w:szCs w:val="32"/>
          <w:lang w:eastAsia="zh-CN"/>
        </w:rPr>
        <w:t>沧沟乡</w:t>
      </w:r>
      <w:r>
        <w:rPr>
          <w:rFonts w:hint="eastAsia" w:eastAsia="方正仿宋_GBK" w:cs="Times New Roman"/>
          <w:spacing w:val="2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普法责任清单》，现印发给你们，</w:t>
      </w:r>
      <w:r>
        <w:rPr>
          <w:rFonts w:hint="eastAsia" w:eastAsia="方正仿宋_GBK" w:cs="Times New Roman"/>
          <w:spacing w:val="2"/>
          <w:sz w:val="32"/>
          <w:szCs w:val="32"/>
          <w:lang w:eastAsia="zh-CN"/>
        </w:rPr>
        <w:t>请各相关责任单位，对照</w:t>
      </w:r>
      <w:r>
        <w:rPr>
          <w:rFonts w:hint="default" w:eastAsia="方正仿宋_GBK" w:cs="Times New Roman"/>
          <w:spacing w:val="2"/>
          <w:sz w:val="32"/>
          <w:szCs w:val="32"/>
          <w:lang w:eastAsia="zh-CN"/>
        </w:rPr>
        <w:t>普法职责</w:t>
      </w:r>
      <w:r>
        <w:rPr>
          <w:rFonts w:hint="eastAsia" w:eastAsia="方正仿宋_GBK" w:cs="Times New Roman"/>
          <w:spacing w:val="2"/>
          <w:sz w:val="32"/>
          <w:szCs w:val="32"/>
          <w:lang w:eastAsia="zh-CN"/>
        </w:rPr>
        <w:t>清单，认真开展普法工作。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重庆市武隆区沧沟乡人民政府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/>
          <w:sz w:val="44"/>
          <w:szCs w:val="44"/>
          <w:lang w:eastAsia="zh-CN"/>
        </w:rPr>
        <w:t>沧沟乡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b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年普法</w:t>
      </w:r>
      <w:r>
        <w:rPr>
          <w:rFonts w:hint="eastAsia" w:ascii="Times New Roman" w:hAnsi="Times New Roman" w:eastAsia="方正小标宋_GBK" w:cs="Times New Roman"/>
          <w:b/>
          <w:sz w:val="44"/>
          <w:szCs w:val="44"/>
          <w:lang w:eastAsia="zh-CN"/>
        </w:rPr>
        <w:t>责任清单</w:t>
      </w:r>
    </w:p>
    <w:tbl>
      <w:tblPr>
        <w:tblStyle w:val="9"/>
        <w:tblW w:w="9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76"/>
        <w:gridCol w:w="2990"/>
        <w:gridCol w:w="1361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责任科室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普法目录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普法对象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沧沟乡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党政办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习近平法治思想学习纲要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、保密法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乡、村、组干部</w:t>
            </w:r>
          </w:p>
        </w:tc>
        <w:tc>
          <w:tcPr>
            <w:tcW w:w="23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1.对全乡人民调解员开展培训2次以上；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2.聘请法律顾问，并开展法治讲座2次以上；对重大决策事项进行法律风险评估；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3.积极组织干部职工参加法治考试，及时更新考试网络系统人员，确保应考尽考；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4.按照“谁执法、谁普法”的原则，每月开展主题宣传活动，全年集中宣传不少于12场次，印发宣传资料10000份；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5.加强法治文化阵地建设，建全各村普法宣传阵地，每季度1期；普法固定标语10幅；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6.持续加大“武隆沧沟”微信公众号关注力度，大力宣传法律知识；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7.推进“法律八进”活动，开展流动车宣传、院坝会宣讲等法律服务活动；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8.继续开展民主法治村创建活动，打造法治示范点。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平安办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宪法、民法典、信访条例、禁毒法、重庆市禁毒条例、国家安全、扫黑除恶、反诈骗、反邪教知识、见义勇为、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重庆市文明行为促进条例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全体公民</w:t>
            </w: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应急办、综合行政执法大队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安全生产法、道路交通安全法、突发事件应对法、食品药品及消防安全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全体公民</w:t>
            </w: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民政和社会事务办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计生法律法规、卫生健康知识，五保供养条例     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全体公民</w:t>
            </w: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退役军人服务站、武装部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国防法、兵役法、退役军人保障法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全体公民</w:t>
            </w: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经发办、农商行沧沟分理处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农村土地承包法、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优化营商环境、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反假币知识、打击非法集资知识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全体公民</w:t>
            </w: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建环办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环境保护法、长江保护法、城乡规划法、农村建房安全知识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全体公民</w:t>
            </w: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社保所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城乡居民养老保险政策、意外伤害险、医疗保险等政策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全体公民</w:t>
            </w: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司法所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人民调解法、社区矫正实施办法、法律援助法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全体公民</w:t>
            </w: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农业服务中心，财政办、畜牧兽医服务中心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农业法、种子法、水法、农业保险、农产品质量安全、农机安全、预算法、财政惠农资金管理、动物防疫法、乡村振兴促进法、禁渔法律法规等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全体公民</w:t>
            </w: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林业服务中心、中心校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森林法、野生动物保护法、森林防火条例，未成年人保护法、教育法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全体公民</w:t>
            </w: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乡纪委、组织办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党章、党纪政策法规</w:t>
            </w:r>
          </w:p>
        </w:tc>
        <w:tc>
          <w:tcPr>
            <w:tcW w:w="13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全乡中共党员，乡、村、组干部</w:t>
            </w:r>
          </w:p>
        </w:tc>
        <w:tc>
          <w:tcPr>
            <w:tcW w:w="23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</w:tbl>
    <w:p>
      <w:pPr>
        <w:widowControl/>
        <w:wordWrap w:val="0"/>
        <w:spacing w:line="520" w:lineRule="atLeast"/>
        <w:jc w:val="left"/>
        <w:rPr>
          <w:rFonts w:hint="eastAsia" w:ascii="方正仿宋_GBK" w:hAnsi="宋体" w:eastAsia="方正仿宋_GBK" w:cs="宋体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rPr>
          <w:rFonts w:hint="eastAsia" w:eastAsia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重庆市武隆区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沧沟乡人民政府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</w:t>
      </w:r>
    </w:p>
    <w:sectPr>
      <w:footerReference r:id="rId3" w:type="default"/>
      <w:pgSz w:w="11906" w:h="16838"/>
      <w:pgMar w:top="1701" w:right="1531" w:bottom="1701" w:left="1531" w:header="851" w:footer="1389" w:gutter="0"/>
      <w:pgNumType w:fmt="numberInDash"/>
      <w:cols w:space="0" w:num="1"/>
      <w:rtlGutter w:val="0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51815"/>
    <w:rsid w:val="0AF94679"/>
    <w:rsid w:val="0B7D6799"/>
    <w:rsid w:val="0C7965DB"/>
    <w:rsid w:val="0E6B228B"/>
    <w:rsid w:val="144B0187"/>
    <w:rsid w:val="19185FA4"/>
    <w:rsid w:val="19D25369"/>
    <w:rsid w:val="21D32BBE"/>
    <w:rsid w:val="22554175"/>
    <w:rsid w:val="22E52C42"/>
    <w:rsid w:val="266B1EE8"/>
    <w:rsid w:val="3A651815"/>
    <w:rsid w:val="43207F24"/>
    <w:rsid w:val="49E917DB"/>
    <w:rsid w:val="49F0342B"/>
    <w:rsid w:val="4D532D3C"/>
    <w:rsid w:val="504F5B4C"/>
    <w:rsid w:val="52341385"/>
    <w:rsid w:val="55E217BD"/>
    <w:rsid w:val="5840392C"/>
    <w:rsid w:val="68B37246"/>
    <w:rsid w:val="69E914D6"/>
    <w:rsid w:val="6DB34A16"/>
    <w:rsid w:val="74995A65"/>
    <w:rsid w:val="79241C17"/>
    <w:rsid w:val="7933382F"/>
    <w:rsid w:val="7B6F3590"/>
    <w:rsid w:val="7BA008E9"/>
    <w:rsid w:val="7D0B4DB5"/>
    <w:rsid w:val="7E4A4B37"/>
    <w:rsid w:val="7EC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eastAsia="宋体"/>
    </w:rPr>
  </w:style>
  <w:style w:type="paragraph" w:styleId="3">
    <w:name w:val="Body Text"/>
    <w:basedOn w:val="1"/>
    <w:qFormat/>
    <w:uiPriority w:val="0"/>
    <w:pPr>
      <w:spacing w:line="560" w:lineRule="exact"/>
      <w:jc w:val="left"/>
      <w:textAlignment w:val="baseline"/>
    </w:pPr>
    <w:rPr>
      <w:rFonts w:ascii="黑体" w:hAnsi="仿宋_GB2312" w:eastAsia="黑体"/>
      <w:sz w:val="32"/>
      <w:szCs w:val="20"/>
    </w:rPr>
  </w:style>
  <w:style w:type="paragraph" w:styleId="4">
    <w:name w:val="Normal Indent"/>
    <w:basedOn w:val="1"/>
    <w:next w:val="1"/>
    <w:unhideWhenUsed/>
    <w:qFormat/>
    <w:uiPriority w:val="99"/>
    <w:pPr>
      <w:spacing w:beforeLines="0" w:afterLines="0"/>
      <w:ind w:firstLine="420" w:firstLineChars="200"/>
    </w:pPr>
    <w:rPr>
      <w:rFonts w:hint="eastAsia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10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2019-04-11T07:01:00Z</dcterms:created>
  <dc:creator>Administrator</dc:creator>
  <cp:lastModifiedBy>Administrator</cp:lastModifiedBy>
  <cp:lastPrinted>2023-01-31T02:34:00Z</cp:lastPrinted>
  <dcterms:modified xsi:type="dcterms:W3CDTF">2023-02-20T06:29:34Z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