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color w:val="FF0000"/>
          <w:spacing w:val="-68"/>
          <w:sz w:val="110"/>
          <w:szCs w:val="110"/>
        </w:rPr>
      </w:pPr>
      <w:r>
        <w:rPr>
          <w:rFonts w:hint="default" w:ascii="Times New Roman" w:hAnsi="Times New Roman" w:eastAsia="方正小标宋_GBK" w:cs="Times New Roman"/>
          <w:spacing w:val="-68"/>
          <w:sz w:val="110"/>
          <w:szCs w:val="110"/>
        </w:rPr>
        <mc:AlternateContent>
          <mc:Choice Requires="wps">
            <w:drawing>
              <wp:anchor distT="0" distB="0" distL="114300" distR="114300" simplePos="0" relativeHeight="251658240" behindDoc="0" locked="0" layoutInCell="1" allowOverlap="1">
                <wp:simplePos x="0" y="0"/>
                <wp:positionH relativeFrom="page">
                  <wp:posOffset>998855</wp:posOffset>
                </wp:positionH>
                <wp:positionV relativeFrom="page">
                  <wp:posOffset>1982470</wp:posOffset>
                </wp:positionV>
                <wp:extent cx="5600700" cy="4445"/>
                <wp:effectExtent l="0" t="38100" r="0" b="52705"/>
                <wp:wrapNone/>
                <wp:docPr id="1" name="直接连接符 1"/>
                <wp:cNvGraphicFramePr/>
                <a:graphic xmlns:a="http://schemas.openxmlformats.org/drawingml/2006/main">
                  <a:graphicData uri="http://schemas.microsoft.com/office/word/2010/wordprocessingShape">
                    <wps:wsp>
                      <wps:cNvCnPr/>
                      <wps:spPr>
                        <a:xfrm flipV="true">
                          <a:off x="0" y="0"/>
                          <a:ext cx="5600700" cy="4445"/>
                        </a:xfrm>
                        <a:prstGeom prst="line">
                          <a:avLst/>
                        </a:prstGeom>
                        <a:ln w="76200" cap="flat" cmpd="thickThin">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78.65pt;margin-top:156.1pt;height:0.35pt;width:441pt;mso-position-horizontal-relative:page;mso-position-vertical-relative:page;z-index:251658240;mso-width-relative:page;mso-height-relative:page;" filled="f" stroked="t" coordsize="21600,21600" o:gfxdata="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YevF7ZAAAADAEAAA8AAAAAAAAAAQAgAAAAOAAA&#10;AGRycy9kb3ducmV2LnhtbFBLAQIUABQAAAAIAIdO4kB1kh5c8QEAAL4DAAAOAAAAAAAAAAEAIAAA&#10;AD4BAABkcnMvZTJvRG9jLnhtbFBLBQYAAAAABgAGAFkBAAChBQAAAAA=&#10;">
                <v:fill on="f" focussize="0,0"/>
                <v:stroke weight="6pt" color="#FF0000" linestyle="thickThin" joinstyle="round"/>
                <v:imagedata o:title=""/>
                <o:lock v:ext="edit" aspectratio="f"/>
              </v:line>
            </w:pict>
          </mc:Fallback>
        </mc:AlternateContent>
      </w:r>
      <w:r>
        <w:rPr>
          <w:rFonts w:hint="default" w:ascii="Times New Roman" w:hAnsi="Times New Roman" w:eastAsia="方正小标宋_GBK" w:cs="Times New Roman"/>
          <w:b/>
          <w:color w:val="FF0000"/>
          <w:spacing w:val="-68"/>
          <w:sz w:val="110"/>
          <w:szCs w:val="110"/>
        </w:rPr>
        <w:t>重庆市武隆区统计局</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outlineLvl w:val="9"/>
        <w:rPr>
          <w:rFonts w:hint="default" w:ascii="Times New Roman" w:hAnsi="Times New Roman" w:cs="Times New Roman"/>
          <w:color w:val="000000"/>
          <w:kern w:val="0"/>
          <w:sz w:val="30"/>
          <w:szCs w:val="30"/>
        </w:rPr>
      </w:pPr>
      <w:r>
        <w:rPr>
          <w:rFonts w:hint="default" w:ascii="Times New Roman" w:hAnsi="Times New Roman" w:cs="Times New Roman"/>
          <w:color w:val="000000"/>
          <w:kern w:val="0"/>
          <w:sz w:val="30"/>
          <w:szCs w:val="30"/>
        </w:rPr>
        <w:t xml:space="preserve">                                  </w:t>
      </w:r>
    </w:p>
    <w:p>
      <w:pPr>
        <w:jc w:val="center"/>
        <w:rPr>
          <w:rFonts w:hint="default" w:ascii="Times New Roman" w:hAnsi="Times New Roman" w:eastAsia="方正仿宋_GBK" w:cs="Times New Roman"/>
          <w:color w:val="000000"/>
          <w:kern w:val="0"/>
          <w:sz w:val="32"/>
          <w:szCs w:val="32"/>
        </w:rPr>
      </w:pPr>
      <w:r>
        <w:rPr>
          <w:rFonts w:hint="default" w:ascii="Times New Roman" w:hAnsi="Times New Roman" w:cs="Times New Roman"/>
          <w:color w:val="000000"/>
          <w:kern w:val="0"/>
          <w:sz w:val="30"/>
          <w:szCs w:val="30"/>
        </w:rPr>
        <w:t xml:space="preserve">                                </w:t>
      </w:r>
      <w:r>
        <w:rPr>
          <w:rFonts w:hint="default" w:ascii="Times New Roman" w:hAnsi="Times New Roman" w:eastAsia="方正仿宋_GBK" w:cs="Times New Roman"/>
          <w:color w:val="000000"/>
          <w:kern w:val="0"/>
          <w:sz w:val="32"/>
          <w:szCs w:val="32"/>
        </w:rPr>
        <w:t>武隆统计公告</w:t>
      </w:r>
      <w:r>
        <w:rPr>
          <w:rFonts w:hint="default" w:ascii="Times New Roman" w:hAnsi="Times New Roman" w:cs="Times New Roman"/>
          <w:color w:val="000000"/>
          <w:kern w:val="0"/>
          <w:sz w:val="32"/>
          <w:szCs w:val="32"/>
        </w:rPr>
        <w:t>〔202</w:t>
      </w:r>
      <w:r>
        <w:rPr>
          <w:rFonts w:hint="eastAsia" w:ascii="Times New Roman" w:hAnsi="Times New Roman" w:cs="Times New Roman"/>
          <w:color w:val="000000"/>
          <w:kern w:val="0"/>
          <w:sz w:val="32"/>
          <w:szCs w:val="32"/>
          <w:lang w:val="en-US" w:eastAsia="zh-CN"/>
        </w:rPr>
        <w:t>3</w:t>
      </w:r>
      <w:r>
        <w:rPr>
          <w:rFonts w:hint="default" w:ascii="Times New Roman" w:hAnsi="Times New Roman" w:cs="Times New Roman"/>
          <w:color w:val="000000"/>
          <w:kern w:val="0"/>
          <w:sz w:val="32"/>
          <w:szCs w:val="32"/>
        </w:rPr>
        <w:t>〕</w:t>
      </w:r>
      <w:r>
        <w:rPr>
          <w:rFonts w:hint="eastAsia" w:ascii="Times New Roman" w:hAnsi="Times New Roman"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重庆市武隆区2023年一季度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地方统计调查项目目录公告</w:t>
      </w:r>
    </w:p>
    <w:p>
      <w:pPr>
        <w:ind w:left="0" w:leftChars="0" w:firstLine="640" w:firstLineChars="200"/>
        <w:rPr>
          <w:rFonts w:hint="default" w:ascii="Times New Roman" w:hAnsi="Times New Roman" w:eastAsia="方正仿宋_GBK" w:cs="Times New Roman"/>
          <w:sz w:val="32"/>
          <w:szCs w:val="32"/>
        </w:rPr>
      </w:pP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统计法》和国家统计局对地方统计调查项目管理工作的相关规定，现将截至2023年第一季度，经重庆市统计局和区统计局审批仍在有效期限内的重庆市地方统计调查项目目录予以公布，以便社会各界监督和查询。</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审批的地方统计调查项目是政府统计调查的组成部分，各社会单位、组织和公民必须按照统计法律法规的规定，接受并配合调查。未经审批的统计调查项目，属于非法统计调查，各社会单位、组织和公民有权拒绝接受调查，并向政府统计机构举报。对违反有关规定，擅自制发统计调查报表的行为，政府统计机构将依法查处。</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统计局发布的国家统计调查项目和部门统计调查项目，重庆市统计局发布的地方统计调查项目，可以通过国家统计局官网（http://www.stats.gov.cn/）和重庆市人民政府市官网市统计局网页（http://tjj.cq.gov.cn/）查阅。</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重庆市武隆区2023年第一季度地方统计调查项目目录</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bookmarkStart w:id="0" w:name="_GoBack"/>
      <w:bookmarkEnd w:id="0"/>
      <w:r>
        <w:rPr>
          <w:rFonts w:hint="default" w:ascii="Times New Roman" w:hAnsi="Times New Roman" w:eastAsia="方正仿宋_GBK" w:cs="Times New Roman"/>
          <w:sz w:val="32"/>
          <w:szCs w:val="32"/>
        </w:rPr>
        <w:t>2. 武隆区地方统计调查项目主要内容公示</w:t>
      </w:r>
    </w:p>
    <w:p>
      <w:pPr>
        <w:ind w:left="0" w:leftChars="0"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武隆区统计局 </w:t>
      </w:r>
    </w:p>
    <w:p>
      <w:pPr>
        <w:ind w:left="0" w:leftChars="0" w:firstLine="420" w:firstLineChars="200"/>
        <w:jc w:val="right"/>
        <w:rPr>
          <w:rFonts w:hint="default" w:ascii="Times New Roman" w:hAnsi="Times New Roman" w:eastAsia="方正仿宋_GBK" w:cs="Times New Roman"/>
          <w:sz w:val="32"/>
          <w:szCs w:val="32"/>
        </w:rPr>
      </w:pPr>
      <w:r>
        <w:t> </w:t>
      </w:r>
      <w:r>
        <w:rPr>
          <w:rFonts w:hint="default" w:ascii="Times New Roman" w:hAnsi="Times New Roman" w:eastAsia="方正仿宋_GBK" w:cs="Times New Roman"/>
          <w:sz w:val="32"/>
          <w:szCs w:val="32"/>
        </w:rPr>
        <w:t>                               2023年4月10日</w:t>
      </w:r>
    </w:p>
    <w:p>
      <w:pPr>
        <w:rPr>
          <w:rFonts w:hint="default" w:ascii="Times New Roman" w:hAnsi="Times New Roman" w:eastAsia="方正仿宋_GBK" w:cs="Times New Roman"/>
          <w:sz w:val="32"/>
          <w:szCs w:val="32"/>
        </w:rPr>
      </w:pPr>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7F2415"/>
    <w:rsid w:val="37DFAD7D"/>
    <w:rsid w:val="65DDAA49"/>
    <w:rsid w:val="726FA696"/>
    <w:rsid w:val="AF7F2415"/>
    <w:rsid w:val="DF6945F1"/>
    <w:rsid w:val="FFCD45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footer"/>
    <w:basedOn w:val="1"/>
    <w:qFormat/>
    <w:uiPriority w:val="0"/>
    <w:pPr>
      <w:tabs>
        <w:tab w:val="center" w:pos="4153"/>
        <w:tab w:val="right" w:pos="8306"/>
      </w:tabs>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2023-11-25T03:46:00Z</dcterms:created>
  <dc:creator>kylin</dc:creator>
  <cp:lastModifiedBy>kylin</cp:lastModifiedBy>
  <dcterms:modified xsi:type="dcterms:W3CDTF">2023-11-24T14:31:40Z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