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atLeast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废止文件目录</w:t>
      </w:r>
      <w:bookmarkEnd w:id="0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  <w:t>16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件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）</w:t>
      </w:r>
    </w:p>
    <w:tbl>
      <w:tblPr>
        <w:tblStyle w:val="5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151"/>
        <w:gridCol w:w="187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文件名称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关于发放2021年春期义务教育阶段寄宿生生活补助、非寄宿建卡贫困学生免费午餐和非寄宿困难学生生活补助的通知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武教委发〔2021〕28号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关于发放2021年春期幼儿园补助经费的通知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武教委发〔2021〕33号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关于发放2021年春期中职学生资助及补发漏资助经费的通知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武教委发〔2021〕34号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关于发放2021年春期普高学生资助及补发漏资助经费的通知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武教委发〔2021〕35号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关于发放2021年秋期普高学生资助及补发漏资助经费的通知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武教委发〔2021〕111号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关于发放2021年秋期中职学生资助及补发漏资助经费的通知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武教委发〔2021〕112号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关于发放2021年秋期义务教育阶段寄宿生生活补助、非寄宿建卡贫困学生免费午餐和非寄宿困难学生生活补助的通知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武教委发〔2021〕113号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关于发放2021年秋期幼儿园补助经费的通知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武教委发〔2021〕114号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关于发放2022年春期义务教育阶段寄宿生生活补助、非寄宿建卡贫困学生免费午餐和非寄宿困难学生生活补助的通知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武教委发〔2022〕47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关于发放2022年春期幼儿园补助经费的通知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武教委发〔2022〕48号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关于发放2022年春期中职学生资助及补发漏资助经费的通知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武教委发〔2022〕44号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关于发放2022年春期普高学生资助及补发漏资助经费的通知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武教委发〔2022〕45号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关于发放2022年秋期普高学生资助及补发漏资助经费的通知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武教委发〔2022〕164号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关于发放2022年秋期中职学生资助及补发漏资助经费的通知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武教委发〔2022〕165号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关于发放2022年秋期幼儿园补助经费的通知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武教委发〔2022〕172号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关于发放2022年秋期义务教育阶段寄宿生生活补助、非寄宿建卡贫困学生免费午餐和非寄宿困难学生生活补助的通知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武教委发〔2022〕173号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阶段性工作已完成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1880"/>
    <w:rsid w:val="16A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before="100" w:beforeAutospacing="1"/>
    </w:pPr>
    <w:rPr>
      <w:rFonts w:ascii="Calibri" w:hAnsi="Calibri"/>
      <w:szCs w:val="21"/>
    </w:rPr>
  </w:style>
  <w:style w:type="character" w:customStyle="1" w:styleId="6">
    <w:name w:val="font11"/>
    <w:basedOn w:val="4"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2023-10-26T08:26:00Z</dcterms:created>
  <dc:creator>教委收发文</dc:creator>
  <cp:lastModifiedBy>教委收发文</cp:lastModifiedBy>
  <dcterms:modified xsi:type="dcterms:W3CDTF">2023-10-26T08:27:41Z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